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0C522B">
        <w:rPr>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930774" w:rsidRPr="00930774">
        <w:rPr>
          <w:bCs/>
          <w:noProof w:val="0"/>
          <w:sz w:val="24"/>
          <w:szCs w:val="24"/>
        </w:rPr>
        <w:t>3438</w:t>
      </w:r>
    </w:p>
    <w:p w:rsidR="00CD4C7B" w:rsidRPr="00B266B0" w:rsidRDefault="000C522B" w:rsidP="00CD4C7B">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95AAB" w:rsidRPr="00595AAB">
        <w:rPr>
          <w:rFonts w:cs="Arial"/>
          <w:b/>
          <w:bCs/>
          <w:sz w:val="24"/>
          <w:lang w:eastAsia="ja-JP"/>
        </w:rPr>
        <w:t>9.4.1.2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5640A">
        <w:rPr>
          <w:rFonts w:ascii="Arial" w:hAnsi="Arial" w:cs="Arial"/>
          <w:b/>
          <w:bCs/>
          <w:sz w:val="24"/>
        </w:rPr>
        <w:t xml:space="preserve">Dual connectivity for </w:t>
      </w:r>
      <w:bookmarkStart w:id="1" w:name="_GoBack"/>
      <w:bookmarkEnd w:id="1"/>
      <w:r w:rsidR="0085640A">
        <w:rPr>
          <w:rFonts w:ascii="Arial" w:hAnsi="Arial" w:cs="Arial"/>
          <w:b/>
          <w:bCs/>
          <w:sz w:val="24"/>
        </w:rPr>
        <w:t xml:space="preserve">LTE-NR </w:t>
      </w:r>
      <w:r w:rsidR="004A2D87">
        <w:rPr>
          <w:rFonts w:ascii="Arial" w:hAnsi="Arial" w:cs="Arial"/>
          <w:b/>
          <w:bCs/>
          <w:sz w:val="24"/>
        </w:rPr>
        <w:t xml:space="preserve">tight </w:t>
      </w:r>
      <w:r w:rsidR="0085640A">
        <w:rPr>
          <w:rFonts w:ascii="Arial" w:hAnsi="Arial" w:cs="Arial"/>
          <w:b/>
          <w:bCs/>
          <w:sz w:val="24"/>
        </w:rPr>
        <w:t>interworking</w:t>
      </w:r>
    </w:p>
    <w:p w:rsidR="00CD4C7B" w:rsidRPr="00B266B0" w:rsidRDefault="00CD4C7B" w:rsidP="00CD4C7B">
      <w:pPr>
        <w:ind w:left="1985" w:hanging="1985"/>
        <w:rPr>
          <w:rFonts w:ascii="Arial" w:hAnsi="Arial" w:cs="Arial"/>
          <w:b/>
          <w:bCs/>
          <w:sz w:val="24"/>
        </w:rPr>
      </w:pPr>
      <w:r>
        <w:rPr>
          <w:rFonts w:ascii="Arial" w:hAnsi="Arial" w:cs="Arial"/>
          <w:b/>
          <w:bCs/>
          <w:sz w:val="24"/>
        </w:rPr>
        <w:t>SID:</w:t>
      </w:r>
      <w:r>
        <w:rPr>
          <w:rFonts w:ascii="Arial" w:hAnsi="Arial" w:cs="Arial"/>
          <w:b/>
          <w:bCs/>
          <w:sz w:val="24"/>
        </w:rPr>
        <w:tab/>
      </w:r>
      <w:r w:rsidR="00176B28" w:rsidRPr="00176B28">
        <w:rPr>
          <w:rFonts w:ascii="Arial" w:hAnsi="Arial" w:cs="Arial"/>
          <w:b/>
          <w:bCs/>
          <w:sz w:val="24"/>
        </w:rPr>
        <w:t>FS_NR_newRAT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5306F4" w:rsidRDefault="00BB1701" w:rsidP="005306F4">
      <w:r>
        <w:t>RAN2#93bis saw both proposals to handle tight interworking between LTE and NR by carrier-aggregation principles, and proposals to handle it by dual-connectivity principles. This contribution discusses these options and proposes that dual connectivity</w:t>
      </w:r>
      <w:r w:rsidR="00060E8A">
        <w:t>, being more generally applicable,</w:t>
      </w:r>
      <w:r>
        <w:t xml:space="preserve"> is chosen as the way forward.</w:t>
      </w:r>
    </w:p>
    <w:p w:rsidR="005306F4" w:rsidRPr="006E13D1" w:rsidRDefault="005306F4" w:rsidP="005306F4">
      <w:pPr>
        <w:pStyle w:val="Heading1"/>
      </w:pPr>
      <w:r w:rsidRPr="006E13D1">
        <w:t>2</w:t>
      </w:r>
      <w:r w:rsidRPr="006E13D1">
        <w:tab/>
      </w:r>
      <w:r>
        <w:t>Definitions</w:t>
      </w:r>
    </w:p>
    <w:p w:rsidR="005306F4" w:rsidRDefault="00C815B8" w:rsidP="00CD4C7B">
      <w:r>
        <w:t xml:space="preserve">Also </w:t>
      </w:r>
      <w:r w:rsidR="00E359FC">
        <w:t>when applied across</w:t>
      </w:r>
      <w:r>
        <w:t xml:space="preserve"> LTE and NR, w</w:t>
      </w:r>
      <w:r w:rsidR="005306F4">
        <w:t>e define CA and DC as follows:</w:t>
      </w:r>
    </w:p>
    <w:p w:rsidR="00C30138" w:rsidRDefault="005306F4" w:rsidP="00CD4C7B">
      <w:r w:rsidRPr="00AF1BCE">
        <w:rPr>
          <w:b/>
        </w:rPr>
        <w:t>Carrier aggregation</w:t>
      </w:r>
      <w:r>
        <w:t xml:space="preserve">: aggregation of carriers for a UE </w:t>
      </w:r>
      <w:r w:rsidR="00C30138">
        <w:t xml:space="preserve">that </w:t>
      </w:r>
      <w:r>
        <w:t>provide</w:t>
      </w:r>
      <w:r w:rsidR="00C30138">
        <w:t>s</w:t>
      </w:r>
      <w:r>
        <w:t xml:space="preserve"> uplink control information (such as HARQ ACK/NACK) on a single uplink carrier</w:t>
      </w:r>
      <w:r w:rsidR="00C30138">
        <w:t>.</w:t>
      </w:r>
    </w:p>
    <w:p w:rsidR="005306F4" w:rsidRDefault="00C30138" w:rsidP="00CD4C7B">
      <w:r>
        <w:t>It follows that carrier aggregation</w:t>
      </w:r>
      <w:r w:rsidR="005306F4">
        <w:t xml:space="preserve"> impl</w:t>
      </w:r>
      <w:r>
        <w:t>ies</w:t>
      </w:r>
      <w:r w:rsidR="005306F4">
        <w:t xml:space="preserve"> tight delay constraints to the network-side connections between the </w:t>
      </w:r>
      <w:r>
        <w:t xml:space="preserve">downlink </w:t>
      </w:r>
      <w:r w:rsidR="005306F4">
        <w:t>transmission points of the aggregated carriers</w:t>
      </w:r>
      <w:r w:rsidR="0004680E">
        <w:t xml:space="preserve"> and the uplink reception point</w:t>
      </w:r>
      <w:r>
        <w:t>.</w:t>
      </w:r>
    </w:p>
    <w:p w:rsidR="005306F4" w:rsidRDefault="005306F4" w:rsidP="00CD4C7B">
      <w:r w:rsidRPr="00AF1BCE">
        <w:rPr>
          <w:b/>
        </w:rPr>
        <w:t>Dual connectivity</w:t>
      </w:r>
      <w:r>
        <w:t xml:space="preserve">: </w:t>
      </w:r>
      <w:r w:rsidR="00C30138">
        <w:t>aggregation of carriers for a UE that provides uplink control information on at least two uplink carrier</w:t>
      </w:r>
      <w:r w:rsidR="0004680E">
        <w:t>s</w:t>
      </w:r>
      <w:r w:rsidR="00C30138">
        <w:t>.</w:t>
      </w:r>
    </w:p>
    <w:p w:rsidR="00C30138" w:rsidRDefault="00C30138" w:rsidP="00CD4C7B">
      <w:r>
        <w:t>It follows that dual connectivity does not imply tight delay constraints to the network-side connections between the downlink transmission points of the aggregated carriers.</w:t>
      </w:r>
    </w:p>
    <w:p w:rsidR="00CD4C7B" w:rsidRPr="006E13D1" w:rsidRDefault="005306F4" w:rsidP="00CD4C7B">
      <w:pPr>
        <w:pStyle w:val="Heading1"/>
      </w:pPr>
      <w:r>
        <w:t>3</w:t>
      </w:r>
      <w:r w:rsidR="00CD4C7B" w:rsidRPr="006E13D1">
        <w:tab/>
      </w:r>
      <w:r w:rsidR="00BB1701">
        <w:t>Discussion</w:t>
      </w:r>
    </w:p>
    <w:p w:rsidR="00BB1701" w:rsidRDefault="007211DD" w:rsidP="00CD4C7B">
      <w:r>
        <w:t>The scenarios and requirements for NR are being studi</w:t>
      </w:r>
      <w:r w:rsidR="00D7322A">
        <w:t>ed in the RAN-lead study item [1</w:t>
      </w:r>
      <w:r>
        <w:t>], with the o</w:t>
      </w:r>
      <w:r w:rsidR="004F5A8C">
        <w:t>utput in TR 38.913 [</w:t>
      </w:r>
      <w:r w:rsidR="00D7322A">
        <w:t>2</w:t>
      </w:r>
      <w:r w:rsidR="004E496F">
        <w:t>]. This TR already captures the following requirements:</w:t>
      </w:r>
    </w:p>
    <w:p w:rsidR="004E496F" w:rsidRPr="00F44479" w:rsidRDefault="004E496F" w:rsidP="004E496F">
      <w:pPr>
        <w:pStyle w:val="Heading1"/>
        <w:ind w:hanging="566"/>
        <w:rPr>
          <w:i/>
          <w:lang w:eastAsia="zh-CN"/>
        </w:rPr>
      </w:pPr>
      <w:bookmarkStart w:id="2" w:name="_Toc446354204"/>
      <w:r w:rsidRPr="00F44479">
        <w:rPr>
          <w:rFonts w:hint="eastAsia"/>
          <w:i/>
          <w:lang w:eastAsia="zh-CN"/>
        </w:rPr>
        <w:t>8</w:t>
      </w:r>
      <w:r w:rsidRPr="00F44479">
        <w:rPr>
          <w:rFonts w:hint="eastAsia"/>
          <w:i/>
          <w:lang w:eastAsia="zh-CN"/>
        </w:rPr>
        <w:tab/>
      </w:r>
      <w:r w:rsidRPr="00F44479">
        <w:rPr>
          <w:i/>
          <w:lang w:eastAsia="zh-CN"/>
        </w:rPr>
        <w:t>Requirements for architecture and migration of Next Generation Radio Access Technologies</w:t>
      </w:r>
      <w:bookmarkEnd w:id="2"/>
    </w:p>
    <w:p w:rsidR="004E496F" w:rsidRPr="00F44479" w:rsidRDefault="004E496F" w:rsidP="004E496F">
      <w:pPr>
        <w:ind w:left="568"/>
        <w:rPr>
          <w:i/>
          <w:lang w:eastAsia="zh-CN"/>
        </w:rPr>
      </w:pPr>
      <w:r w:rsidRPr="00F44479">
        <w:rPr>
          <w:i/>
          <w:lang w:val="en-US" w:eastAsia="zh-CN"/>
        </w:rPr>
        <w:t xml:space="preserve">The RAN design for the </w:t>
      </w:r>
      <w:r w:rsidRPr="00F44479">
        <w:rPr>
          <w:i/>
          <w:lang w:eastAsia="zh-CN"/>
        </w:rPr>
        <w:t>Next Generation Radio Access Technologies shall be designed to fulfil</w:t>
      </w:r>
      <w:r w:rsidRPr="00F44479">
        <w:rPr>
          <w:rFonts w:hint="eastAsia"/>
          <w:i/>
          <w:lang w:eastAsia="zh-CN"/>
        </w:rPr>
        <w:t>l</w:t>
      </w:r>
      <w:r w:rsidRPr="00F44479">
        <w:rPr>
          <w:i/>
          <w:lang w:eastAsia="zh-CN"/>
        </w:rPr>
        <w:t xml:space="preserve"> the following requirements:</w:t>
      </w:r>
    </w:p>
    <w:p w:rsidR="004E496F" w:rsidRPr="00F44479" w:rsidRDefault="004E496F" w:rsidP="004E496F">
      <w:pPr>
        <w:pStyle w:val="B1"/>
        <w:ind w:left="1136"/>
        <w:rPr>
          <w:i/>
          <w:lang w:eastAsia="zh-CN"/>
        </w:rPr>
      </w:pPr>
      <w:r w:rsidRPr="00F44479">
        <w:rPr>
          <w:i/>
          <w:lang w:eastAsia="zh-CN"/>
        </w:rPr>
        <w:t>-</w:t>
      </w:r>
      <w:r w:rsidRPr="00F44479">
        <w:rPr>
          <w:i/>
          <w:lang w:eastAsia="zh-CN"/>
        </w:rPr>
        <w:tab/>
        <w:t>The RAN architecture shall support tight interworking between the new RAT and LTE.</w:t>
      </w:r>
    </w:p>
    <w:p w:rsidR="004E496F" w:rsidRPr="00F44479" w:rsidRDefault="004E496F" w:rsidP="004E496F">
      <w:pPr>
        <w:pStyle w:val="B2"/>
        <w:ind w:left="1419"/>
        <w:rPr>
          <w:i/>
          <w:lang w:eastAsia="zh-CN"/>
        </w:rPr>
      </w:pPr>
      <w:r w:rsidRPr="00F44479">
        <w:rPr>
          <w:i/>
          <w:lang w:eastAsia="zh-CN"/>
        </w:rPr>
        <w:t>-</w:t>
      </w:r>
      <w:r w:rsidRPr="00F44479">
        <w:rPr>
          <w:i/>
          <w:lang w:eastAsia="zh-CN"/>
        </w:rPr>
        <w:tab/>
        <w:t>Considering</w:t>
      </w:r>
      <w:r w:rsidRPr="00F44479" w:rsidDel="00A13732">
        <w:rPr>
          <w:i/>
          <w:lang w:eastAsia="zh-CN"/>
        </w:rPr>
        <w:t xml:space="preserve"> </w:t>
      </w:r>
      <w:r w:rsidRPr="00F44479">
        <w:rPr>
          <w:i/>
          <w:lang w:eastAsia="zh-CN"/>
        </w:rPr>
        <w:t xml:space="preserve">high performing inter-RAT mobility </w:t>
      </w:r>
      <w:r w:rsidRPr="00367FC3">
        <w:rPr>
          <w:i/>
          <w:highlight w:val="yellow"/>
          <w:lang w:eastAsia="zh-CN"/>
        </w:rPr>
        <w:t>and aggregation of data flows via at least dual connectivity between LTE and new RAT. This shall be supported for both collocated and non-collocated site deployments.</w:t>
      </w:r>
    </w:p>
    <w:p w:rsidR="00D7322A" w:rsidRDefault="00D7322A" w:rsidP="00D7322A">
      <w:r>
        <w:t xml:space="preserve">In Rel-12 LTE, dual connectivity introduced the possibility to aggregate carriers for a given UE from transmission points separated by non-ideal </w:t>
      </w:r>
      <w:r w:rsidR="00876671">
        <w:t xml:space="preserve">transport </w:t>
      </w:r>
      <w:r>
        <w:t>connection (</w:t>
      </w:r>
      <w:r w:rsidR="00876671">
        <w:t xml:space="preserve">or “non-ideal backhaul” </w:t>
      </w:r>
      <w:r>
        <w:t xml:space="preserve">as defined in [1]), </w:t>
      </w:r>
      <w:r w:rsidR="004050B6">
        <w:t>something not available from</w:t>
      </w:r>
      <w:r>
        <w:t xml:space="preserve"> the pre-existing carrier aggregation. </w:t>
      </w:r>
      <w:r w:rsidR="004050B6">
        <w:t>Similarly</w:t>
      </w:r>
      <w:r w:rsidR="00876671">
        <w:t xml:space="preserve">, </w:t>
      </w:r>
      <w:r>
        <w:t xml:space="preserve">LTE-NR </w:t>
      </w:r>
      <w:r w:rsidR="00367FC3">
        <w:t>aggregation</w:t>
      </w:r>
      <w:r>
        <w:t xml:space="preserve"> </w:t>
      </w:r>
      <w:r w:rsidR="00367FC3">
        <w:t>to a given UE from</w:t>
      </w:r>
      <w:r>
        <w:t xml:space="preserve"> LTE and NR sites separated by non-ideal </w:t>
      </w:r>
      <w:r w:rsidR="00876671">
        <w:t xml:space="preserve">transport </w:t>
      </w:r>
      <w:r>
        <w:t>is not possible by carrier-aggregation mechanisms, but requires dual connectivity.</w:t>
      </w:r>
    </w:p>
    <w:p w:rsidR="00D7322A" w:rsidRDefault="00D7322A" w:rsidP="00627922">
      <w:r w:rsidRPr="00D7322A">
        <w:rPr>
          <w:b/>
        </w:rPr>
        <w:lastRenderedPageBreak/>
        <w:t>Observation</w:t>
      </w:r>
      <w:r w:rsidR="00627922">
        <w:t xml:space="preserve">: </w:t>
      </w:r>
      <w:r w:rsidR="00367FC3">
        <w:t xml:space="preserve">LTE-NR aggregation from </w:t>
      </w:r>
      <w:r>
        <w:t xml:space="preserve">LTE and NR sites separated by non-ideal </w:t>
      </w:r>
      <w:r w:rsidR="005C5415">
        <w:t xml:space="preserve">transport </w:t>
      </w:r>
      <w:r>
        <w:t>is not possible by carrier-aggregation mechanisms, but requires dual connectivity.</w:t>
      </w:r>
    </w:p>
    <w:p w:rsidR="005B119C" w:rsidRDefault="00BF7823" w:rsidP="00CD4C7B">
      <w:r>
        <w:t>T</w:t>
      </w:r>
      <w:r w:rsidR="005B119C">
        <w:t xml:space="preserve">he </w:t>
      </w:r>
      <w:r>
        <w:t xml:space="preserve">pivotal </w:t>
      </w:r>
      <w:r w:rsidR="005B119C">
        <w:t xml:space="preserve">question </w:t>
      </w:r>
      <w:r>
        <w:t xml:space="preserve">then seems to be </w:t>
      </w:r>
      <w:r w:rsidR="005B119C" w:rsidRPr="00420128">
        <w:rPr>
          <w:u w:val="single"/>
        </w:rPr>
        <w:t xml:space="preserve">whether </w:t>
      </w:r>
      <w:r w:rsidRPr="00420128">
        <w:rPr>
          <w:u w:val="single"/>
        </w:rPr>
        <w:t xml:space="preserve">aggregation should be supported </w:t>
      </w:r>
      <w:r w:rsidR="004050B6" w:rsidRPr="00420128">
        <w:rPr>
          <w:u w:val="single"/>
        </w:rPr>
        <w:t xml:space="preserve">only </w:t>
      </w:r>
      <w:r w:rsidR="00367FC3" w:rsidRPr="00420128">
        <w:rPr>
          <w:u w:val="single"/>
        </w:rPr>
        <w:t xml:space="preserve">from LTE and NR sites separated by ideal </w:t>
      </w:r>
      <w:r w:rsidR="005C5415">
        <w:rPr>
          <w:u w:val="single"/>
        </w:rPr>
        <w:t>transport</w:t>
      </w:r>
      <w:r w:rsidR="00367FC3">
        <w:t>.</w:t>
      </w:r>
    </w:p>
    <w:p w:rsidR="00367FC3" w:rsidRDefault="00367FC3" w:rsidP="00CD4C7B">
      <w:r>
        <w:t xml:space="preserve">In our contribution [4] discussed in RAN2#93bis, we sketched </w:t>
      </w:r>
      <w:r w:rsidR="004050B6">
        <w:t>an early NR-deployment scenario that we foresee as common, and where LTE-NR aggregation would seem particularly useful:</w:t>
      </w:r>
    </w:p>
    <w:p w:rsidR="004050B6" w:rsidRPr="004050B6" w:rsidRDefault="004050B6" w:rsidP="004050B6">
      <w:pPr>
        <w:ind w:left="568"/>
        <w:rPr>
          <w:i/>
        </w:rPr>
      </w:pPr>
      <w:r w:rsidRPr="004050B6">
        <w:rPr>
          <w:i/>
        </w:rPr>
        <w:t xml:space="preserve">At the time of initial deployments of the new RAT, the current LTE deployments seem highly likely to still exist in operation. Indeed, an initial deployment of the new RAT can be one where NR micro cells are deployed on top of a pre-existing LTE macro-cell layer operating in a licensed band. </w:t>
      </w:r>
    </w:p>
    <w:p w:rsidR="004050B6" w:rsidRDefault="004050B6" w:rsidP="004050B6">
      <w:pPr>
        <w:ind w:left="568"/>
      </w:pPr>
      <w:r w:rsidRPr="004050B6">
        <w:rPr>
          <w:i/>
        </w:rPr>
        <w:t>Here dual connectivity between LTE and the new RAT comes into play: in such a scenario, having the UE’s control-plane connection to an LTE macro cell makes it more robust against mobility – also because the NR micro cells can be operating in an unlicensed band. At the same time, the UE can be served by the high-performing new RAT in the user plane.</w:t>
      </w:r>
    </w:p>
    <w:p w:rsidR="004050B6" w:rsidRDefault="004050B6" w:rsidP="00CD4C7B">
      <w:r>
        <w:t>For such aggregation of LTE macro cells and NR micro cells, requiring ideal</w:t>
      </w:r>
      <w:r w:rsidR="005C5415">
        <w:t xml:space="preserve"> transport</w:t>
      </w:r>
      <w:r>
        <w:t xml:space="preserve"> between the two seems very restrictive, which is why we propose the following.</w:t>
      </w:r>
    </w:p>
    <w:p w:rsidR="00B238C3" w:rsidRDefault="00B238C3" w:rsidP="00627922">
      <w:r w:rsidRPr="00B238C3">
        <w:rPr>
          <w:b/>
        </w:rPr>
        <w:t>Proposal 1</w:t>
      </w:r>
      <w:r w:rsidR="00627922">
        <w:t xml:space="preserve">: </w:t>
      </w:r>
      <w:r w:rsidR="00420128">
        <w:t xml:space="preserve">LTE-NR aggregation to a given UE shall be possible from LTE and NR sites separated by non-ideal </w:t>
      </w:r>
      <w:r w:rsidR="005C5415">
        <w:t>transport</w:t>
      </w:r>
      <w:r w:rsidR="00420128">
        <w:t>.</w:t>
      </w:r>
    </w:p>
    <w:p w:rsidR="00420128" w:rsidRDefault="00420128" w:rsidP="00627922">
      <w:r>
        <w:rPr>
          <w:b/>
        </w:rPr>
        <w:t>Proposal 2</w:t>
      </w:r>
      <w:r w:rsidRPr="00420128">
        <w:t>:</w:t>
      </w:r>
      <w:r w:rsidR="00627922">
        <w:t xml:space="preserve"> </w:t>
      </w:r>
      <w:r w:rsidR="00615913">
        <w:t>LTE-NR dual connectivity is selected as a mechanism for LTE-NR tight interworking.</w:t>
      </w:r>
    </w:p>
    <w:p w:rsidR="00B238C3" w:rsidRDefault="00615913" w:rsidP="00CD4C7B">
      <w:r>
        <w:t xml:space="preserve">Because LTE-NR dual connectivity can naturally also aggregate from sites separated by ideal </w:t>
      </w:r>
      <w:r w:rsidR="005C5415">
        <w:t>transport</w:t>
      </w:r>
      <w:r>
        <w:t>, once that is available, LTE-NR carrier aggregation seems simply redundant.</w:t>
      </w:r>
    </w:p>
    <w:p w:rsidR="00615913" w:rsidRDefault="00615913" w:rsidP="00627922">
      <w:r w:rsidRPr="00615913">
        <w:rPr>
          <w:b/>
        </w:rPr>
        <w:t>Proposal 3</w:t>
      </w:r>
      <w:r w:rsidR="00627922">
        <w:t xml:space="preserve">: </w:t>
      </w:r>
      <w:r>
        <w:t>In addition to LTE-NR dual connectivity, LTE-NR carrier aggregation is not needed.</w:t>
      </w:r>
    </w:p>
    <w:p w:rsidR="00CD4C7B" w:rsidRPr="006E13D1" w:rsidRDefault="005306F4" w:rsidP="00CD4C7B">
      <w:pPr>
        <w:pStyle w:val="Heading1"/>
      </w:pPr>
      <w:r>
        <w:t>4</w:t>
      </w:r>
      <w:r w:rsidR="00CD4C7B" w:rsidRPr="006E13D1">
        <w:tab/>
      </w:r>
      <w:r w:rsidR="00615913">
        <w:t>Conclusion</w:t>
      </w:r>
    </w:p>
    <w:p w:rsidR="00CD4C7B" w:rsidRDefault="00F034E2" w:rsidP="00CD4C7B">
      <w:r>
        <w:t>This contribution discusses carrier aggregation and dual connectivity as options for tight interworking between LTE and NR, and concludes with the following.</w:t>
      </w:r>
    </w:p>
    <w:p w:rsidR="00F034E2" w:rsidRDefault="00F034E2" w:rsidP="00627922">
      <w:r w:rsidRPr="00D7322A">
        <w:rPr>
          <w:b/>
        </w:rPr>
        <w:t>Observation</w:t>
      </w:r>
      <w:r>
        <w:t>:</w:t>
      </w:r>
      <w:r w:rsidR="00627922">
        <w:t xml:space="preserve"> </w:t>
      </w:r>
      <w:r>
        <w:t>LTE-NR aggregation from LTE and NR sites separated by non-ideal transport is not possible by carrier-aggregation mechanisms, but requires dual connectivity.</w:t>
      </w:r>
    </w:p>
    <w:p w:rsidR="00F034E2" w:rsidRDefault="00F034E2" w:rsidP="00627922">
      <w:r w:rsidRPr="00B238C3">
        <w:rPr>
          <w:b/>
        </w:rPr>
        <w:t>Proposal 1</w:t>
      </w:r>
      <w:r>
        <w:t>:</w:t>
      </w:r>
      <w:r w:rsidR="00627922">
        <w:t xml:space="preserve"> </w:t>
      </w:r>
      <w:r>
        <w:t>LTE-NR aggregation to a given UE shall be possible from LTE and NR sites separated by non-ideal transport.</w:t>
      </w:r>
    </w:p>
    <w:p w:rsidR="00F034E2" w:rsidRDefault="00F034E2" w:rsidP="00627922">
      <w:r>
        <w:rPr>
          <w:b/>
        </w:rPr>
        <w:t>Proposal 2</w:t>
      </w:r>
      <w:r w:rsidRPr="00420128">
        <w:t>:</w:t>
      </w:r>
      <w:r w:rsidR="00627922">
        <w:t xml:space="preserve"> </w:t>
      </w:r>
      <w:r>
        <w:t>LTE-NR dual connectivity is selected as a mechanism for LTE-NR tight interworking.</w:t>
      </w:r>
    </w:p>
    <w:p w:rsidR="00F034E2" w:rsidRDefault="00F034E2" w:rsidP="00627922">
      <w:r w:rsidRPr="00615913">
        <w:rPr>
          <w:b/>
        </w:rPr>
        <w:t>Proposal 3</w:t>
      </w:r>
      <w:r>
        <w:t>:</w:t>
      </w:r>
      <w:r w:rsidR="00627922">
        <w:t xml:space="preserve"> </w:t>
      </w:r>
      <w:r>
        <w:t>In addition to LTE-NR dual connectivity, LTE-NR carrier aggregation is not needed.</w:t>
      </w:r>
    </w:p>
    <w:p w:rsidR="00F034E2" w:rsidRPr="006E13D1" w:rsidRDefault="00F034E2" w:rsidP="00CD4C7B"/>
    <w:p w:rsidR="00CD4C7B" w:rsidRPr="006E13D1" w:rsidRDefault="00CD4C7B" w:rsidP="00CD4C7B">
      <w:pPr>
        <w:pStyle w:val="Heading1"/>
      </w:pPr>
      <w:r w:rsidRPr="006E13D1">
        <w:t>References</w:t>
      </w:r>
    </w:p>
    <w:bookmarkStart w:id="3" w:name="_Ref75086397"/>
    <w:p w:rsidR="00CD4C7B" w:rsidRDefault="00291ABC" w:rsidP="00291ABC">
      <w:pPr>
        <w:numPr>
          <w:ilvl w:val="0"/>
          <w:numId w:val="4"/>
        </w:numPr>
        <w:overflowPunct w:val="0"/>
        <w:autoSpaceDE w:val="0"/>
        <w:autoSpaceDN w:val="0"/>
        <w:adjustRightInd w:val="0"/>
        <w:textAlignment w:val="baseline"/>
      </w:pPr>
      <w:r>
        <w:fldChar w:fldCharType="begin"/>
      </w:r>
      <w:r>
        <w:instrText xml:space="preserve"> HYPERLINK "ftp://ftp.3gpp.org/tsg_ran/TSG_RAN/TSGR_70/Docs/RP-152257.zip" </w:instrText>
      </w:r>
      <w:r>
        <w:fldChar w:fldCharType="separate"/>
      </w:r>
      <w:r w:rsidR="00CD4C7B" w:rsidRPr="00291ABC">
        <w:rPr>
          <w:rStyle w:val="Hyperlink"/>
        </w:rPr>
        <w:t>R</w:t>
      </w:r>
      <w:r w:rsidRPr="00291ABC">
        <w:rPr>
          <w:rStyle w:val="Hyperlink"/>
        </w:rPr>
        <w:t>P</w:t>
      </w:r>
      <w:r w:rsidR="00CD4C7B" w:rsidRPr="00291ABC">
        <w:rPr>
          <w:rStyle w:val="Hyperlink"/>
        </w:rPr>
        <w:t>-</w:t>
      </w:r>
      <w:r w:rsidRPr="00291ABC">
        <w:rPr>
          <w:rStyle w:val="Hyperlink"/>
        </w:rPr>
        <w:t>152257</w:t>
      </w:r>
      <w:r>
        <w:fldChar w:fldCharType="end"/>
      </w:r>
      <w:r w:rsidR="00CD4C7B" w:rsidRPr="006E13D1">
        <w:t xml:space="preserve">, </w:t>
      </w:r>
      <w:r w:rsidRPr="00291ABC">
        <w:rPr>
          <w:i/>
          <w:iCs/>
        </w:rPr>
        <w:t>New Study Item Proposal: Study on Scenarios and Requirements for Next Generation Access Technologies</w:t>
      </w:r>
      <w:r w:rsidR="00CD4C7B" w:rsidRPr="006E13D1">
        <w:t xml:space="preserve">, </w:t>
      </w:r>
      <w:bookmarkEnd w:id="3"/>
      <w:r>
        <w:t>CMCC</w:t>
      </w:r>
    </w:p>
    <w:p w:rsidR="00291ABC" w:rsidRPr="00450DE4" w:rsidRDefault="007B64E3" w:rsidP="00291ABC">
      <w:pPr>
        <w:numPr>
          <w:ilvl w:val="0"/>
          <w:numId w:val="4"/>
        </w:numPr>
        <w:overflowPunct w:val="0"/>
        <w:autoSpaceDE w:val="0"/>
        <w:autoSpaceDN w:val="0"/>
        <w:adjustRightInd w:val="0"/>
        <w:textAlignment w:val="baseline"/>
      </w:pPr>
      <w:hyperlink r:id="rId7" w:history="1">
        <w:r w:rsidR="00291ABC" w:rsidRPr="004B5DC2">
          <w:rPr>
            <w:rStyle w:val="Hyperlink"/>
          </w:rPr>
          <w:t>3GPP TR 38.913</w:t>
        </w:r>
      </w:hyperlink>
      <w:r w:rsidR="00291ABC" w:rsidRPr="006E13D1">
        <w:t xml:space="preserve">, </w:t>
      </w:r>
      <w:r w:rsidR="00291ABC" w:rsidRPr="004B5DC2">
        <w:rPr>
          <w:i/>
          <w:iCs/>
        </w:rPr>
        <w:t>Study on Scenarios and Requirements for Next Generation Access Technologies</w:t>
      </w:r>
    </w:p>
    <w:p w:rsidR="00450DE4" w:rsidRPr="00BF7823" w:rsidRDefault="007B64E3" w:rsidP="00450DE4">
      <w:pPr>
        <w:numPr>
          <w:ilvl w:val="0"/>
          <w:numId w:val="4"/>
        </w:numPr>
        <w:overflowPunct w:val="0"/>
        <w:autoSpaceDE w:val="0"/>
        <w:autoSpaceDN w:val="0"/>
        <w:adjustRightInd w:val="0"/>
        <w:textAlignment w:val="baseline"/>
      </w:pPr>
      <w:hyperlink r:id="rId8" w:history="1">
        <w:r w:rsidR="00450DE4" w:rsidRPr="004B5DC2">
          <w:rPr>
            <w:rStyle w:val="Hyperlink"/>
          </w:rPr>
          <w:t>3GPP TR 3</w:t>
        </w:r>
        <w:r w:rsidR="00450DE4">
          <w:rPr>
            <w:rStyle w:val="Hyperlink"/>
          </w:rPr>
          <w:t>6</w:t>
        </w:r>
        <w:r w:rsidR="00450DE4" w:rsidRPr="004B5DC2">
          <w:rPr>
            <w:rStyle w:val="Hyperlink"/>
          </w:rPr>
          <w:t>.9</w:t>
        </w:r>
      </w:hyperlink>
      <w:r w:rsidR="00450DE4">
        <w:rPr>
          <w:rStyle w:val="Hyperlink"/>
        </w:rPr>
        <w:t>32</w:t>
      </w:r>
      <w:r w:rsidR="00450DE4" w:rsidRPr="006E13D1">
        <w:t xml:space="preserve">, </w:t>
      </w:r>
      <w:r w:rsidR="00450DE4" w:rsidRPr="00FE0DFD">
        <w:rPr>
          <w:i/>
          <w:iCs/>
        </w:rPr>
        <w:t>Scenarios and requirements for small cell enhancements for E-UTRA and E-UTRAN</w:t>
      </w:r>
    </w:p>
    <w:p w:rsidR="00BF7823" w:rsidRDefault="007B64E3" w:rsidP="00ED0885">
      <w:pPr>
        <w:numPr>
          <w:ilvl w:val="0"/>
          <w:numId w:val="4"/>
        </w:numPr>
        <w:overflowPunct w:val="0"/>
        <w:autoSpaceDE w:val="0"/>
        <w:autoSpaceDN w:val="0"/>
        <w:adjustRightInd w:val="0"/>
        <w:textAlignment w:val="baseline"/>
      </w:pPr>
      <w:hyperlink r:id="rId9" w:history="1">
        <w:r w:rsidR="00BF7823" w:rsidRPr="00BF7823">
          <w:rPr>
            <w:rStyle w:val="Hyperlink"/>
          </w:rPr>
          <w:t>R2-162365</w:t>
        </w:r>
      </w:hyperlink>
      <w:r w:rsidR="00BF7823" w:rsidRPr="006E13D1">
        <w:t xml:space="preserve">, </w:t>
      </w:r>
      <w:r w:rsidR="00ED0885" w:rsidRPr="00ED0885">
        <w:rPr>
          <w:i/>
          <w:iCs/>
        </w:rPr>
        <w:t>Dual connectivity between LTE and the New RAT</w:t>
      </w:r>
      <w:r w:rsidR="00BF7823" w:rsidRPr="006E13D1">
        <w:t xml:space="preserve">, </w:t>
      </w:r>
      <w:r w:rsidR="00ED0885" w:rsidRPr="00ED0885">
        <w:t>Nokia, Alcatel-Lucent Shanghai Bell</w:t>
      </w:r>
    </w:p>
    <w:p w:rsidR="00080512" w:rsidRPr="00CD4C7B" w:rsidRDefault="00080512" w:rsidP="00F034E2"/>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4E3" w:rsidRDefault="007B64E3">
      <w:r>
        <w:separator/>
      </w:r>
    </w:p>
  </w:endnote>
  <w:endnote w:type="continuationSeparator" w:id="0">
    <w:p w:rsidR="007B64E3" w:rsidRDefault="007B6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4E3" w:rsidRDefault="007B64E3">
      <w:r>
        <w:separator/>
      </w:r>
    </w:p>
  </w:footnote>
  <w:footnote w:type="continuationSeparator" w:id="0">
    <w:p w:rsidR="007B64E3" w:rsidRDefault="007B64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3225"/>
    <w:rsid w:val="0004680E"/>
    <w:rsid w:val="00060E8A"/>
    <w:rsid w:val="00080512"/>
    <w:rsid w:val="00090468"/>
    <w:rsid w:val="000B7BCF"/>
    <w:rsid w:val="000C522B"/>
    <w:rsid w:val="000D58AB"/>
    <w:rsid w:val="001741A0"/>
    <w:rsid w:val="00176B28"/>
    <w:rsid w:val="00194CD0"/>
    <w:rsid w:val="001B49C9"/>
    <w:rsid w:val="001E5D93"/>
    <w:rsid w:val="001F168B"/>
    <w:rsid w:val="001F7831"/>
    <w:rsid w:val="00204045"/>
    <w:rsid w:val="0022606D"/>
    <w:rsid w:val="002708DC"/>
    <w:rsid w:val="0027301F"/>
    <w:rsid w:val="002747EC"/>
    <w:rsid w:val="002855BF"/>
    <w:rsid w:val="00291ABC"/>
    <w:rsid w:val="002F0D22"/>
    <w:rsid w:val="003172DC"/>
    <w:rsid w:val="00326069"/>
    <w:rsid w:val="00342D19"/>
    <w:rsid w:val="0035462D"/>
    <w:rsid w:val="00367FC3"/>
    <w:rsid w:val="00377A33"/>
    <w:rsid w:val="003C4E37"/>
    <w:rsid w:val="003E16BE"/>
    <w:rsid w:val="00401855"/>
    <w:rsid w:val="004050B6"/>
    <w:rsid w:val="00420128"/>
    <w:rsid w:val="00450DE4"/>
    <w:rsid w:val="00477455"/>
    <w:rsid w:val="0049293D"/>
    <w:rsid w:val="004A2D87"/>
    <w:rsid w:val="004D3578"/>
    <w:rsid w:val="004D380D"/>
    <w:rsid w:val="004E213A"/>
    <w:rsid w:val="004E496F"/>
    <w:rsid w:val="004F5832"/>
    <w:rsid w:val="004F5A8C"/>
    <w:rsid w:val="004F61E6"/>
    <w:rsid w:val="00503171"/>
    <w:rsid w:val="005306F4"/>
    <w:rsid w:val="005312D1"/>
    <w:rsid w:val="00534DA0"/>
    <w:rsid w:val="00543E6C"/>
    <w:rsid w:val="00556317"/>
    <w:rsid w:val="00565087"/>
    <w:rsid w:val="0056573F"/>
    <w:rsid w:val="00595AAB"/>
    <w:rsid w:val="005B119C"/>
    <w:rsid w:val="005C5415"/>
    <w:rsid w:val="00611566"/>
    <w:rsid w:val="00615913"/>
    <w:rsid w:val="00627922"/>
    <w:rsid w:val="00646D99"/>
    <w:rsid w:val="00656910"/>
    <w:rsid w:val="006C66D8"/>
    <w:rsid w:val="006D1E24"/>
    <w:rsid w:val="006F6A2C"/>
    <w:rsid w:val="007211DD"/>
    <w:rsid w:val="00734A5B"/>
    <w:rsid w:val="00744E76"/>
    <w:rsid w:val="00757D40"/>
    <w:rsid w:val="00781F0F"/>
    <w:rsid w:val="0078727C"/>
    <w:rsid w:val="0079767A"/>
    <w:rsid w:val="007B18D8"/>
    <w:rsid w:val="007B64E3"/>
    <w:rsid w:val="007C095F"/>
    <w:rsid w:val="008028A4"/>
    <w:rsid w:val="0085640A"/>
    <w:rsid w:val="00876671"/>
    <w:rsid w:val="008768CA"/>
    <w:rsid w:val="00880559"/>
    <w:rsid w:val="008D04D4"/>
    <w:rsid w:val="0090271F"/>
    <w:rsid w:val="00930774"/>
    <w:rsid w:val="00942EC2"/>
    <w:rsid w:val="00961B32"/>
    <w:rsid w:val="00974BB0"/>
    <w:rsid w:val="009B07CD"/>
    <w:rsid w:val="00A10F02"/>
    <w:rsid w:val="00A53724"/>
    <w:rsid w:val="00A82346"/>
    <w:rsid w:val="00A9671C"/>
    <w:rsid w:val="00AF1BCE"/>
    <w:rsid w:val="00B15449"/>
    <w:rsid w:val="00B238C3"/>
    <w:rsid w:val="00B47FD1"/>
    <w:rsid w:val="00BB1701"/>
    <w:rsid w:val="00BF7823"/>
    <w:rsid w:val="00C12B51"/>
    <w:rsid w:val="00C234BF"/>
    <w:rsid w:val="00C30138"/>
    <w:rsid w:val="00C322A7"/>
    <w:rsid w:val="00C33079"/>
    <w:rsid w:val="00C815B8"/>
    <w:rsid w:val="00C83A13"/>
    <w:rsid w:val="00CA3D0C"/>
    <w:rsid w:val="00CD4C7B"/>
    <w:rsid w:val="00D7322A"/>
    <w:rsid w:val="00D738D6"/>
    <w:rsid w:val="00D80795"/>
    <w:rsid w:val="00D87E00"/>
    <w:rsid w:val="00D9134D"/>
    <w:rsid w:val="00D96D11"/>
    <w:rsid w:val="00D97077"/>
    <w:rsid w:val="00DA7A03"/>
    <w:rsid w:val="00DB1818"/>
    <w:rsid w:val="00DC309B"/>
    <w:rsid w:val="00DC4DA2"/>
    <w:rsid w:val="00E31974"/>
    <w:rsid w:val="00E359FC"/>
    <w:rsid w:val="00E62835"/>
    <w:rsid w:val="00E77645"/>
    <w:rsid w:val="00EC4A25"/>
    <w:rsid w:val="00ED0885"/>
    <w:rsid w:val="00F025A2"/>
    <w:rsid w:val="00F034E2"/>
    <w:rsid w:val="00F07388"/>
    <w:rsid w:val="00F2026E"/>
    <w:rsid w:val="00F2210A"/>
    <w:rsid w:val="00F24468"/>
    <w:rsid w:val="00F37743"/>
    <w:rsid w:val="00F54A3D"/>
    <w:rsid w:val="00F653B8"/>
    <w:rsid w:val="00F76F8F"/>
    <w:rsid w:val="00FA1266"/>
    <w:rsid w:val="00FC1192"/>
    <w:rsid w:val="00FE0D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4E496F"/>
    <w:pPr>
      <w:overflowPunct w:val="0"/>
      <w:autoSpaceDE w:val="0"/>
      <w:autoSpaceDN w:val="0"/>
      <w:adjustRightInd w:val="0"/>
      <w:ind w:left="720"/>
      <w:contextualSpacing/>
      <w:textAlignment w:val="baseline"/>
    </w:pPr>
    <w:rPr>
      <w:rFonts w:eastAsia="MS Mincho"/>
    </w:rPr>
  </w:style>
  <w:style w:type="character" w:customStyle="1" w:styleId="B1Zchn">
    <w:name w:val="B1 Zchn"/>
    <w:link w:val="B1"/>
    <w:rsid w:val="004E496F"/>
    <w:rPr>
      <w:lang w:eastAsia="en-US"/>
    </w:rPr>
  </w:style>
  <w:style w:type="paragraph" w:styleId="BalloonText">
    <w:name w:val="Balloon Text"/>
    <w:basedOn w:val="Normal"/>
    <w:link w:val="BalloonTextChar"/>
    <w:rsid w:val="005306F4"/>
    <w:pPr>
      <w:spacing w:after="0"/>
    </w:pPr>
    <w:rPr>
      <w:rFonts w:ascii="Segoe UI" w:hAnsi="Segoe UI" w:cs="Segoe UI"/>
      <w:sz w:val="18"/>
      <w:szCs w:val="18"/>
    </w:rPr>
  </w:style>
  <w:style w:type="character" w:customStyle="1" w:styleId="BalloonTextChar">
    <w:name w:val="Balloon Text Char"/>
    <w:basedOn w:val="DefaultParagraphFont"/>
    <w:link w:val="BalloonText"/>
    <w:rsid w:val="005306F4"/>
    <w:rPr>
      <w:rFonts w:ascii="Segoe UI" w:hAnsi="Segoe UI" w:cs="Segoe UI"/>
      <w:sz w:val="18"/>
      <w:szCs w:val="18"/>
      <w:lang w:eastAsia="en-US"/>
    </w:rPr>
  </w:style>
  <w:style w:type="character" w:customStyle="1" w:styleId="Heading1Char">
    <w:name w:val="Heading 1 Char"/>
    <w:basedOn w:val="DefaultParagraphFont"/>
    <w:link w:val="Heading1"/>
    <w:rsid w:val="005306F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DynaReport/36932.htm" TargetMode="External"/><Relationship Id="rId3" Type="http://schemas.openxmlformats.org/officeDocument/2006/relationships/settings" Target="settings.xml"/><Relationship Id="rId7" Type="http://schemas.openxmlformats.org/officeDocument/2006/relationships/hyperlink" Target="http://www.3gpp.org/DynaReport/3891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WG2_RL2/TSGR2_93bis/Docs/R2-16236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837</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2016-05-13T06:33:00Z</dcterms:created>
  <dcterms:modified xsi:type="dcterms:W3CDTF">2016-05-13T08:12:00Z</dcterms:modified>
</cp:coreProperties>
</file>